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3928"/>
        <w:rPr>
          <w:rFonts w:ascii="Times New Roman"/>
          <w:sz w:val="20"/>
        </w:rPr>
      </w:pPr>
      <w:r>
        <w:rPr>
          <w:rFonts w:ascii="Times New Roman"/>
          <w:sz w:val="20"/>
        </w:rPr>
        <w:drawing>
          <wp:inline distT="0" distB="0" distL="0" distR="0">
            <wp:extent cx="928585" cy="714565"/>
            <wp:effectExtent l="0" t="0" r="0" b="0"/>
            <wp:docPr id="1" name="Image 1" descr="logo_conseil_2009_fr_DDblanc-bleu-rouge "/>
            <wp:cNvGraphicFramePr>
              <a:graphicFrameLocks/>
            </wp:cNvGraphicFramePr>
            <a:graphic>
              <a:graphicData uri="http://schemas.openxmlformats.org/drawingml/2006/picture">
                <pic:pic>
                  <pic:nvPicPr>
                    <pic:cNvPr id="1" name="Image 1" descr="logo_conseil_2009_fr_DDblanc-bleu-rouge "/>
                    <pic:cNvPicPr/>
                  </pic:nvPicPr>
                  <pic:blipFill>
                    <a:blip r:embed="rId5" cstate="print"/>
                    <a:stretch>
                      <a:fillRect/>
                    </a:stretch>
                  </pic:blipFill>
                  <pic:spPr>
                    <a:xfrm>
                      <a:off x="0" y="0"/>
                      <a:ext cx="928585" cy="714565"/>
                    </a:xfrm>
                    <a:prstGeom prst="rect">
                      <a:avLst/>
                    </a:prstGeom>
                  </pic:spPr>
                </pic:pic>
              </a:graphicData>
            </a:graphic>
          </wp:inline>
        </w:drawing>
      </w:r>
      <w:r>
        <w:rPr>
          <w:rFonts w:ascii="Times New Roman"/>
          <w:sz w:val="20"/>
        </w:rPr>
      </w:r>
    </w:p>
    <w:p>
      <w:pPr>
        <w:spacing w:before="0"/>
        <w:ind w:left="0" w:right="141" w:firstLine="0"/>
        <w:jc w:val="right"/>
        <w:rPr>
          <w:sz w:val="20"/>
        </w:rPr>
      </w:pPr>
      <w:r>
        <w:rPr>
          <w:sz w:val="20"/>
        </w:rPr>
        <w:t>Paris,</w:t>
      </w:r>
      <w:r>
        <w:rPr>
          <w:spacing w:val="-3"/>
          <w:sz w:val="20"/>
        </w:rPr>
        <w:t> </w:t>
      </w:r>
      <w:r>
        <w:rPr>
          <w:sz w:val="20"/>
        </w:rPr>
        <w:t>le</w:t>
      </w:r>
      <w:r>
        <w:rPr>
          <w:spacing w:val="-1"/>
          <w:sz w:val="20"/>
        </w:rPr>
        <w:t> </w:t>
      </w:r>
      <w:r>
        <w:rPr>
          <w:sz w:val="20"/>
        </w:rPr>
        <w:t>25</w:t>
      </w:r>
      <w:r>
        <w:rPr>
          <w:spacing w:val="-1"/>
          <w:sz w:val="20"/>
        </w:rPr>
        <w:t> </w:t>
      </w:r>
      <w:r>
        <w:rPr>
          <w:sz w:val="20"/>
        </w:rPr>
        <w:t>novembre</w:t>
      </w:r>
      <w:r>
        <w:rPr>
          <w:spacing w:val="-1"/>
          <w:sz w:val="20"/>
        </w:rPr>
        <w:t> </w:t>
      </w:r>
      <w:r>
        <w:rPr>
          <w:spacing w:val="-4"/>
          <w:sz w:val="20"/>
        </w:rPr>
        <w:t>2020</w:t>
      </w:r>
    </w:p>
    <w:p>
      <w:pPr>
        <w:spacing w:before="31"/>
        <w:ind w:left="0" w:right="0" w:firstLine="0"/>
        <w:jc w:val="center"/>
        <w:rPr>
          <w:b/>
          <w:sz w:val="28"/>
        </w:rPr>
      </w:pPr>
      <w:r>
        <w:rPr>
          <w:b/>
          <w:color w:val="808080"/>
          <w:sz w:val="28"/>
        </w:rPr>
        <w:t>COMMUNIQUÉ</w:t>
      </w:r>
      <w:r>
        <w:rPr>
          <w:b/>
          <w:color w:val="808080"/>
          <w:spacing w:val="-3"/>
          <w:sz w:val="28"/>
        </w:rPr>
        <w:t> </w:t>
      </w:r>
      <w:r>
        <w:rPr>
          <w:b/>
          <w:color w:val="808080"/>
          <w:sz w:val="28"/>
        </w:rPr>
        <w:t>DE</w:t>
      </w:r>
      <w:r>
        <w:rPr>
          <w:b/>
          <w:color w:val="808080"/>
          <w:spacing w:val="-3"/>
          <w:sz w:val="28"/>
        </w:rPr>
        <w:t> </w:t>
      </w:r>
      <w:r>
        <w:rPr>
          <w:b/>
          <w:color w:val="808080"/>
          <w:spacing w:val="-2"/>
          <w:sz w:val="28"/>
        </w:rPr>
        <w:t>PRESSE</w:t>
      </w:r>
    </w:p>
    <w:p>
      <w:pPr>
        <w:pStyle w:val="BodyText"/>
        <w:rPr>
          <w:b/>
          <w:sz w:val="28"/>
        </w:rPr>
      </w:pPr>
    </w:p>
    <w:p>
      <w:pPr>
        <w:pStyle w:val="Heading1"/>
        <w:spacing w:line="242" w:lineRule="auto"/>
        <w:ind w:left="892"/>
      </w:pPr>
      <w:r>
        <w:rPr>
          <w:color w:val="256FB9"/>
        </w:rPr>
        <w:t>Le</w:t>
      </w:r>
      <w:r>
        <w:rPr>
          <w:color w:val="256FB9"/>
          <w:spacing w:val="-4"/>
        </w:rPr>
        <w:t> </w:t>
      </w:r>
      <w:r>
        <w:rPr>
          <w:color w:val="256FB9"/>
        </w:rPr>
        <w:t>juge</w:t>
      </w:r>
      <w:r>
        <w:rPr>
          <w:color w:val="256FB9"/>
          <w:spacing w:val="-4"/>
        </w:rPr>
        <w:t> </w:t>
      </w:r>
      <w:r>
        <w:rPr>
          <w:color w:val="256FB9"/>
        </w:rPr>
        <w:t>des</w:t>
      </w:r>
      <w:r>
        <w:rPr>
          <w:color w:val="256FB9"/>
          <w:spacing w:val="-6"/>
        </w:rPr>
        <w:t> </w:t>
      </w:r>
      <w:r>
        <w:rPr>
          <w:color w:val="256FB9"/>
        </w:rPr>
        <w:t>référés</w:t>
      </w:r>
      <w:r>
        <w:rPr>
          <w:color w:val="256FB9"/>
          <w:spacing w:val="-5"/>
        </w:rPr>
        <w:t> </w:t>
      </w:r>
      <w:r>
        <w:rPr>
          <w:color w:val="256FB9"/>
        </w:rPr>
        <w:t>suspend</w:t>
      </w:r>
      <w:r>
        <w:rPr>
          <w:color w:val="256FB9"/>
          <w:spacing w:val="-2"/>
        </w:rPr>
        <w:t> </w:t>
      </w:r>
      <w:r>
        <w:rPr>
          <w:color w:val="256FB9"/>
        </w:rPr>
        <w:t>la</w:t>
      </w:r>
      <w:r>
        <w:rPr>
          <w:color w:val="256FB9"/>
          <w:spacing w:val="-2"/>
        </w:rPr>
        <w:t> </w:t>
      </w:r>
      <w:r>
        <w:rPr>
          <w:color w:val="256FB9"/>
        </w:rPr>
        <w:t>possibilité</w:t>
      </w:r>
      <w:r>
        <w:rPr>
          <w:color w:val="256FB9"/>
          <w:spacing w:val="-4"/>
        </w:rPr>
        <w:t> </w:t>
      </w:r>
      <w:r>
        <w:rPr>
          <w:color w:val="256FB9"/>
        </w:rPr>
        <w:t>d’utiliser</w:t>
      </w:r>
      <w:r>
        <w:rPr>
          <w:color w:val="256FB9"/>
          <w:spacing w:val="-4"/>
        </w:rPr>
        <w:t> </w:t>
      </w:r>
      <w:r>
        <w:rPr>
          <w:color w:val="256FB9"/>
        </w:rPr>
        <w:t>la</w:t>
      </w:r>
      <w:r>
        <w:rPr>
          <w:color w:val="256FB9"/>
          <w:spacing w:val="-6"/>
        </w:rPr>
        <w:t> </w:t>
      </w:r>
      <w:r>
        <w:rPr>
          <w:color w:val="256FB9"/>
        </w:rPr>
        <w:t>visio-conférence</w:t>
      </w:r>
      <w:r>
        <w:rPr>
          <w:color w:val="256FB9"/>
          <w:spacing w:val="-4"/>
        </w:rPr>
        <w:t> </w:t>
      </w:r>
      <w:r>
        <w:rPr>
          <w:color w:val="256FB9"/>
        </w:rPr>
        <w:t>lors des audiences devant les cours d’assises et les cours criminelles</w:t>
      </w:r>
    </w:p>
    <w:p>
      <w:pPr>
        <w:spacing w:line="240" w:lineRule="auto" w:before="272"/>
        <w:ind w:left="141" w:right="143" w:hanging="1"/>
        <w:jc w:val="both"/>
        <w:rPr>
          <w:b/>
          <w:sz w:val="24"/>
        </w:rPr>
      </w:pPr>
      <w:r>
        <w:rPr>
          <w:b/>
          <w:sz w:val="24"/>
        </w:rPr>
        <w:t>Le juge des référés du Conseil d’État estime que le recours à la visio-conférence, sans l’accord de l’accusé, autorisé par l’ordonnance du 18 novembre 2020, pendant le réquisitoire</w:t>
      </w:r>
      <w:r>
        <w:rPr>
          <w:b/>
          <w:spacing w:val="-1"/>
          <w:sz w:val="24"/>
        </w:rPr>
        <w:t> </w:t>
      </w:r>
      <w:r>
        <w:rPr>
          <w:b/>
          <w:sz w:val="24"/>
        </w:rPr>
        <w:t>de</w:t>
      </w:r>
      <w:r>
        <w:rPr>
          <w:b/>
          <w:spacing w:val="-1"/>
          <w:sz w:val="24"/>
        </w:rPr>
        <w:t> </w:t>
      </w:r>
      <w:r>
        <w:rPr>
          <w:b/>
          <w:sz w:val="24"/>
        </w:rPr>
        <w:t>l’avocat</w:t>
      </w:r>
      <w:r>
        <w:rPr>
          <w:b/>
          <w:spacing w:val="-2"/>
          <w:sz w:val="24"/>
        </w:rPr>
        <w:t> </w:t>
      </w:r>
      <w:r>
        <w:rPr>
          <w:b/>
          <w:sz w:val="24"/>
        </w:rPr>
        <w:t>général</w:t>
      </w:r>
      <w:r>
        <w:rPr>
          <w:b/>
          <w:spacing w:val="-5"/>
          <w:sz w:val="24"/>
        </w:rPr>
        <w:t> </w:t>
      </w:r>
      <w:r>
        <w:rPr>
          <w:b/>
          <w:sz w:val="24"/>
        </w:rPr>
        <w:t>et les</w:t>
      </w:r>
      <w:r>
        <w:rPr>
          <w:b/>
          <w:spacing w:val="-3"/>
          <w:sz w:val="24"/>
        </w:rPr>
        <w:t> </w:t>
      </w:r>
      <w:r>
        <w:rPr>
          <w:b/>
          <w:sz w:val="24"/>
        </w:rPr>
        <w:t>plaidoiries</w:t>
      </w:r>
      <w:r>
        <w:rPr>
          <w:b/>
          <w:spacing w:val="-3"/>
          <w:sz w:val="24"/>
        </w:rPr>
        <w:t> </w:t>
      </w:r>
      <w:r>
        <w:rPr>
          <w:b/>
          <w:sz w:val="24"/>
        </w:rPr>
        <w:t>des</w:t>
      </w:r>
      <w:r>
        <w:rPr>
          <w:b/>
          <w:spacing w:val="-3"/>
          <w:sz w:val="24"/>
        </w:rPr>
        <w:t> </w:t>
      </w:r>
      <w:r>
        <w:rPr>
          <w:b/>
          <w:sz w:val="24"/>
        </w:rPr>
        <w:t>avocats,</w:t>
      </w:r>
      <w:r>
        <w:rPr>
          <w:b/>
          <w:spacing w:val="-3"/>
          <w:sz w:val="24"/>
        </w:rPr>
        <w:t> </w:t>
      </w:r>
      <w:r>
        <w:rPr>
          <w:b/>
          <w:sz w:val="24"/>
        </w:rPr>
        <w:t>porte une</w:t>
      </w:r>
      <w:r>
        <w:rPr>
          <w:b/>
          <w:spacing w:val="-1"/>
          <w:sz w:val="24"/>
        </w:rPr>
        <w:t> </w:t>
      </w:r>
      <w:r>
        <w:rPr>
          <w:b/>
          <w:sz w:val="24"/>
        </w:rPr>
        <w:t>atteinte</w:t>
      </w:r>
      <w:r>
        <w:rPr>
          <w:b/>
          <w:spacing w:val="-1"/>
          <w:sz w:val="24"/>
        </w:rPr>
        <w:t> </w:t>
      </w:r>
      <w:r>
        <w:rPr>
          <w:b/>
          <w:sz w:val="24"/>
        </w:rPr>
        <w:t>grave</w:t>
      </w:r>
      <w:r>
        <w:rPr>
          <w:b/>
          <w:spacing w:val="-1"/>
          <w:sz w:val="24"/>
        </w:rPr>
        <w:t> </w:t>
      </w:r>
      <w:r>
        <w:rPr>
          <w:b/>
          <w:sz w:val="24"/>
        </w:rPr>
        <w:t>et manifestement illégale aux droits de la défense et au droit à un procès équitable.</w:t>
      </w:r>
    </w:p>
    <w:p>
      <w:pPr>
        <w:pStyle w:val="BodyText"/>
        <w:spacing w:before="291"/>
        <w:ind w:left="140" w:right="139"/>
        <w:jc w:val="both"/>
      </w:pPr>
      <w:r>
        <w:rPr/>
        <w:t>Dans le cadre de l’état d’urgence sanitaire déclaré pour faire face à la nouvelle progression de l’épidémie</w:t>
      </w:r>
      <w:r>
        <w:rPr>
          <w:spacing w:val="-10"/>
        </w:rPr>
        <w:t> </w:t>
      </w:r>
      <w:r>
        <w:rPr/>
        <w:t>de</w:t>
      </w:r>
      <w:r>
        <w:rPr>
          <w:spacing w:val="-10"/>
        </w:rPr>
        <w:t> </w:t>
      </w:r>
      <w:r>
        <w:rPr/>
        <w:t>covid-19,</w:t>
      </w:r>
      <w:r>
        <w:rPr>
          <w:spacing w:val="-5"/>
        </w:rPr>
        <w:t> </w:t>
      </w:r>
      <w:r>
        <w:rPr/>
        <w:t>une</w:t>
      </w:r>
      <w:r>
        <w:rPr>
          <w:spacing w:val="-10"/>
        </w:rPr>
        <w:t> </w:t>
      </w:r>
      <w:hyperlink r:id="rId6">
        <w:r>
          <w:rPr>
            <w:color w:val="0562C1"/>
            <w:u w:val="single" w:color="0562C1"/>
          </w:rPr>
          <w:t>ordonnance</w:t>
        </w:r>
        <w:r>
          <w:rPr>
            <w:color w:val="0562C1"/>
            <w:spacing w:val="-10"/>
            <w:u w:val="single" w:color="0562C1"/>
          </w:rPr>
          <w:t> </w:t>
        </w:r>
        <w:r>
          <w:rPr>
            <w:color w:val="0562C1"/>
            <w:u w:val="single" w:color="0562C1"/>
          </w:rPr>
          <w:t>du</w:t>
        </w:r>
        <w:r>
          <w:rPr>
            <w:color w:val="0562C1"/>
            <w:spacing w:val="-11"/>
            <w:u w:val="single" w:color="0562C1"/>
          </w:rPr>
          <w:t> </w:t>
        </w:r>
        <w:r>
          <w:rPr>
            <w:color w:val="0562C1"/>
            <w:u w:val="single" w:color="0562C1"/>
          </w:rPr>
          <w:t>18</w:t>
        </w:r>
        <w:r>
          <w:rPr>
            <w:color w:val="0562C1"/>
            <w:spacing w:val="-10"/>
            <w:u w:val="single" w:color="0562C1"/>
          </w:rPr>
          <w:t> </w:t>
        </w:r>
        <w:r>
          <w:rPr>
            <w:color w:val="0562C1"/>
            <w:u w:val="single" w:color="0562C1"/>
          </w:rPr>
          <w:t>novembre</w:t>
        </w:r>
        <w:r>
          <w:rPr>
            <w:color w:val="0562C1"/>
            <w:spacing w:val="-10"/>
            <w:u w:val="single" w:color="0562C1"/>
          </w:rPr>
          <w:t> </w:t>
        </w:r>
        <w:r>
          <w:rPr>
            <w:color w:val="0562C1"/>
            <w:u w:val="single" w:color="0562C1"/>
          </w:rPr>
          <w:t>2020</w:t>
        </w:r>
      </w:hyperlink>
      <w:r>
        <w:rPr>
          <w:color w:val="0562C1"/>
          <w:spacing w:val="-10"/>
        </w:rPr>
        <w:t> </w:t>
      </w:r>
      <w:r>
        <w:rPr/>
        <w:t>du</w:t>
      </w:r>
      <w:r>
        <w:rPr>
          <w:spacing w:val="-11"/>
        </w:rPr>
        <w:t> </w:t>
      </w:r>
      <w:r>
        <w:rPr/>
        <w:t>Gouvernement</w:t>
      </w:r>
      <w:r>
        <w:rPr>
          <w:spacing w:val="-8"/>
        </w:rPr>
        <w:t> </w:t>
      </w:r>
      <w:r>
        <w:rPr/>
        <w:t>a</w:t>
      </w:r>
      <w:r>
        <w:rPr>
          <w:spacing w:val="-9"/>
        </w:rPr>
        <w:t> </w:t>
      </w:r>
      <w:r>
        <w:rPr/>
        <w:t>adapté</w:t>
      </w:r>
      <w:r>
        <w:rPr>
          <w:spacing w:val="-10"/>
        </w:rPr>
        <w:t> </w:t>
      </w:r>
      <w:r>
        <w:rPr/>
        <w:t>plusieurs règles de procédure pénale afin, selon son article 1</w:t>
      </w:r>
      <w:r>
        <w:rPr>
          <w:vertAlign w:val="superscript"/>
        </w:rPr>
        <w:t>er</w:t>
      </w:r>
      <w:r>
        <w:rPr>
          <w:vertAlign w:val="baseline"/>
        </w:rPr>
        <w:t>, «</w:t>
      </w:r>
      <w:r>
        <w:rPr>
          <w:spacing w:val="-6"/>
          <w:vertAlign w:val="baseline"/>
        </w:rPr>
        <w:t> </w:t>
      </w:r>
      <w:r>
        <w:rPr>
          <w:i/>
          <w:vertAlign w:val="baseline"/>
        </w:rPr>
        <w:t>de permettre la continuité de l’activité des juridictions pénales </w:t>
      </w:r>
      <w:r>
        <w:rPr>
          <w:i/>
          <w:sz w:val="24"/>
          <w:vertAlign w:val="baseline"/>
        </w:rPr>
        <w:t>essentielle au maintien de l’ordre public</w:t>
      </w:r>
      <w:r>
        <w:rPr>
          <w:i/>
          <w:spacing w:val="-1"/>
          <w:sz w:val="24"/>
          <w:vertAlign w:val="baseline"/>
        </w:rPr>
        <w:t> </w:t>
      </w:r>
      <w:r>
        <w:rPr>
          <w:vertAlign w:val="baseline"/>
        </w:rPr>
        <w:t>». Plusieurs associations, des ordres d’avocats et un syndicat de magistrats ont demandé au juge des référés du Conseil d’État de suspendre en urgence certaines dispositions de cette ordonnance, en particulier l’extension des possibilités de recours à la visio-conférence (article 2) et la restriction de l’accès du public aux audiences (article 4).</w:t>
      </w:r>
    </w:p>
    <w:p>
      <w:pPr>
        <w:pStyle w:val="BodyText"/>
        <w:spacing w:before="3"/>
      </w:pPr>
    </w:p>
    <w:p>
      <w:pPr>
        <w:pStyle w:val="BodyText"/>
        <w:ind w:left="140" w:right="139"/>
        <w:jc w:val="both"/>
      </w:pPr>
      <w:r>
        <w:rPr/>
        <w:t>Le</w:t>
      </w:r>
      <w:r>
        <w:rPr>
          <w:spacing w:val="-2"/>
        </w:rPr>
        <w:t> </w:t>
      </w:r>
      <w:r>
        <w:rPr/>
        <w:t>juge</w:t>
      </w:r>
      <w:r>
        <w:rPr>
          <w:spacing w:val="-2"/>
        </w:rPr>
        <w:t> </w:t>
      </w:r>
      <w:r>
        <w:rPr/>
        <w:t>des</w:t>
      </w:r>
      <w:r>
        <w:rPr>
          <w:spacing w:val="-1"/>
        </w:rPr>
        <w:t> </w:t>
      </w:r>
      <w:r>
        <w:rPr/>
        <w:t>référés</w:t>
      </w:r>
      <w:r>
        <w:rPr>
          <w:spacing w:val="-1"/>
        </w:rPr>
        <w:t> </w:t>
      </w:r>
      <w:r>
        <w:rPr/>
        <w:t>suspend</w:t>
      </w:r>
      <w:r>
        <w:rPr>
          <w:spacing w:val="-2"/>
        </w:rPr>
        <w:t> </w:t>
      </w:r>
      <w:r>
        <w:rPr/>
        <w:t>aujourd’hui</w:t>
      </w:r>
      <w:r>
        <w:rPr>
          <w:spacing w:val="-1"/>
        </w:rPr>
        <w:t> </w:t>
      </w:r>
      <w:r>
        <w:rPr/>
        <w:t>la</w:t>
      </w:r>
      <w:r>
        <w:rPr>
          <w:spacing w:val="-1"/>
        </w:rPr>
        <w:t> </w:t>
      </w:r>
      <w:r>
        <w:rPr/>
        <w:t>possibilité,</w:t>
      </w:r>
      <w:r>
        <w:rPr>
          <w:spacing w:val="-5"/>
        </w:rPr>
        <w:t> </w:t>
      </w:r>
      <w:r>
        <w:rPr/>
        <w:t>résultant de</w:t>
      </w:r>
      <w:r>
        <w:rPr>
          <w:spacing w:val="-2"/>
        </w:rPr>
        <w:t> </w:t>
      </w:r>
      <w:r>
        <w:rPr/>
        <w:t>cette</w:t>
      </w:r>
      <w:r>
        <w:rPr>
          <w:spacing w:val="-2"/>
        </w:rPr>
        <w:t> </w:t>
      </w:r>
      <w:r>
        <w:rPr/>
        <w:t>ordonnance,</w:t>
      </w:r>
      <w:r>
        <w:rPr>
          <w:spacing w:val="-1"/>
        </w:rPr>
        <w:t> </w:t>
      </w:r>
      <w:r>
        <w:rPr/>
        <w:t>de</w:t>
      </w:r>
      <w:r>
        <w:rPr>
          <w:spacing w:val="-6"/>
        </w:rPr>
        <w:t> </w:t>
      </w:r>
      <w:r>
        <w:rPr/>
        <w:t>recourir à la</w:t>
      </w:r>
      <w:r>
        <w:rPr>
          <w:spacing w:val="-3"/>
        </w:rPr>
        <w:t> </w:t>
      </w:r>
      <w:r>
        <w:rPr/>
        <w:t>visio-conférence</w:t>
      </w:r>
      <w:r>
        <w:rPr>
          <w:spacing w:val="-4"/>
        </w:rPr>
        <w:t> </w:t>
      </w:r>
      <w:r>
        <w:rPr/>
        <w:t>après</w:t>
      </w:r>
      <w:r>
        <w:rPr>
          <w:spacing w:val="-3"/>
        </w:rPr>
        <w:t> </w:t>
      </w:r>
      <w:r>
        <w:rPr/>
        <w:t>la</w:t>
      </w:r>
      <w:r>
        <w:rPr>
          <w:spacing w:val="-3"/>
        </w:rPr>
        <w:t> </w:t>
      </w:r>
      <w:r>
        <w:rPr/>
        <w:t>fin</w:t>
      </w:r>
      <w:r>
        <w:rPr>
          <w:spacing w:val="-2"/>
        </w:rPr>
        <w:t> </w:t>
      </w:r>
      <w:r>
        <w:rPr/>
        <w:t>de</w:t>
      </w:r>
      <w:r>
        <w:rPr>
          <w:spacing w:val="-4"/>
        </w:rPr>
        <w:t> </w:t>
      </w:r>
      <w:r>
        <w:rPr/>
        <w:t>l’instruction</w:t>
      </w:r>
      <w:r>
        <w:rPr>
          <w:spacing w:val="-2"/>
        </w:rPr>
        <w:t> </w:t>
      </w:r>
      <w:r>
        <w:rPr/>
        <w:t>à</w:t>
      </w:r>
      <w:r>
        <w:rPr>
          <w:spacing w:val="-3"/>
        </w:rPr>
        <w:t> </w:t>
      </w:r>
      <w:r>
        <w:rPr/>
        <w:t>l’audience</w:t>
      </w:r>
      <w:r>
        <w:rPr>
          <w:spacing w:val="-4"/>
        </w:rPr>
        <w:t> </w:t>
      </w:r>
      <w:r>
        <w:rPr/>
        <w:t>devant</w:t>
      </w:r>
      <w:r>
        <w:rPr>
          <w:spacing w:val="-2"/>
        </w:rPr>
        <w:t> </w:t>
      </w:r>
      <w:r>
        <w:rPr/>
        <w:t>les</w:t>
      </w:r>
      <w:r>
        <w:rPr>
          <w:spacing w:val="-3"/>
        </w:rPr>
        <w:t> </w:t>
      </w:r>
      <w:r>
        <w:rPr/>
        <w:t>juridictions</w:t>
      </w:r>
      <w:r>
        <w:rPr>
          <w:spacing w:val="-3"/>
        </w:rPr>
        <w:t> </w:t>
      </w:r>
      <w:r>
        <w:rPr/>
        <w:t>criminelles,</w:t>
      </w:r>
      <w:r>
        <w:rPr>
          <w:spacing w:val="-3"/>
        </w:rPr>
        <w:t> </w:t>
      </w:r>
      <w:r>
        <w:rPr/>
        <w:t>c’est- à-dire pendant le réquisitoire de l’avocat général et les plaidoiries des avocats.</w:t>
      </w:r>
    </w:p>
    <w:p>
      <w:pPr>
        <w:pStyle w:val="BodyText"/>
        <w:spacing w:before="266"/>
        <w:ind w:left="140" w:right="138"/>
        <w:jc w:val="both"/>
      </w:pPr>
      <w:r>
        <w:rPr/>
        <w:t>Il estime en effet que ces dispositions portent une atteinte grave et manifestement illégale aux droits de la défense et au droit à un procès équitable</w:t>
      </w:r>
      <w:r>
        <w:rPr>
          <w:rFonts w:ascii="Times New Roman" w:hAnsi="Times New Roman"/>
          <w:sz w:val="24"/>
        </w:rPr>
        <w:t>. </w:t>
      </w:r>
      <w:r>
        <w:rPr/>
        <w:t>Il relève que, devant la cour d’assises ou la cour</w:t>
      </w:r>
      <w:r>
        <w:rPr>
          <w:spacing w:val="-12"/>
        </w:rPr>
        <w:t> </w:t>
      </w:r>
      <w:r>
        <w:rPr/>
        <w:t>criminelle,</w:t>
      </w:r>
      <w:r>
        <w:rPr>
          <w:spacing w:val="-12"/>
        </w:rPr>
        <w:t> </w:t>
      </w:r>
      <w:r>
        <w:rPr/>
        <w:t>la</w:t>
      </w:r>
      <w:r>
        <w:rPr>
          <w:spacing w:val="-12"/>
        </w:rPr>
        <w:t> </w:t>
      </w:r>
      <w:r>
        <w:rPr/>
        <w:t>gravité</w:t>
      </w:r>
      <w:r>
        <w:rPr>
          <w:spacing w:val="-12"/>
        </w:rPr>
        <w:t> </w:t>
      </w:r>
      <w:r>
        <w:rPr/>
        <w:t>des</w:t>
      </w:r>
      <w:r>
        <w:rPr>
          <w:spacing w:val="-12"/>
        </w:rPr>
        <w:t> </w:t>
      </w:r>
      <w:r>
        <w:rPr/>
        <w:t>peines</w:t>
      </w:r>
      <w:r>
        <w:rPr>
          <w:spacing w:val="-12"/>
        </w:rPr>
        <w:t> </w:t>
      </w:r>
      <w:r>
        <w:rPr/>
        <w:t>encourues</w:t>
      </w:r>
      <w:r>
        <w:rPr>
          <w:spacing w:val="-12"/>
        </w:rPr>
        <w:t> </w:t>
      </w:r>
      <w:r>
        <w:rPr/>
        <w:t>et</w:t>
      </w:r>
      <w:r>
        <w:rPr>
          <w:spacing w:val="-12"/>
        </w:rPr>
        <w:t> </w:t>
      </w:r>
      <w:r>
        <w:rPr/>
        <w:t>le</w:t>
      </w:r>
      <w:r>
        <w:rPr>
          <w:spacing w:val="-12"/>
        </w:rPr>
        <w:t> </w:t>
      </w:r>
      <w:r>
        <w:rPr/>
        <w:t>rôle</w:t>
      </w:r>
      <w:r>
        <w:rPr>
          <w:spacing w:val="-12"/>
        </w:rPr>
        <w:t> </w:t>
      </w:r>
      <w:r>
        <w:rPr/>
        <w:t>dévolu</w:t>
      </w:r>
      <w:r>
        <w:rPr>
          <w:spacing w:val="-12"/>
        </w:rPr>
        <w:t> </w:t>
      </w:r>
      <w:r>
        <w:rPr/>
        <w:t>à</w:t>
      </w:r>
      <w:r>
        <w:rPr>
          <w:spacing w:val="-12"/>
        </w:rPr>
        <w:t> </w:t>
      </w:r>
      <w:r>
        <w:rPr/>
        <w:t>l’intime</w:t>
      </w:r>
      <w:r>
        <w:rPr>
          <w:spacing w:val="-11"/>
        </w:rPr>
        <w:t> </w:t>
      </w:r>
      <w:r>
        <w:rPr/>
        <w:t>conviction</w:t>
      </w:r>
      <w:r>
        <w:rPr>
          <w:spacing w:val="-12"/>
        </w:rPr>
        <w:t> </w:t>
      </w:r>
      <w:r>
        <w:rPr/>
        <w:t>des</w:t>
      </w:r>
      <w:r>
        <w:rPr>
          <w:spacing w:val="-12"/>
        </w:rPr>
        <w:t> </w:t>
      </w:r>
      <w:r>
        <w:rPr/>
        <w:t>magistrats et des jurés confèrent une</w:t>
      </w:r>
      <w:r>
        <w:rPr>
          <w:spacing w:val="-3"/>
        </w:rPr>
        <w:t> </w:t>
      </w:r>
      <w:r>
        <w:rPr/>
        <w:t>place spécifique</w:t>
      </w:r>
      <w:r>
        <w:rPr>
          <w:spacing w:val="-3"/>
        </w:rPr>
        <w:t> </w:t>
      </w:r>
      <w:r>
        <w:rPr/>
        <w:t>à l’oralité</w:t>
      </w:r>
      <w:r>
        <w:rPr>
          <w:spacing w:val="-3"/>
        </w:rPr>
        <w:t> </w:t>
      </w:r>
      <w:r>
        <w:rPr/>
        <w:t>des débats. Il</w:t>
      </w:r>
      <w:r>
        <w:rPr>
          <w:spacing w:val="-1"/>
        </w:rPr>
        <w:t> </w:t>
      </w:r>
      <w:r>
        <w:rPr/>
        <w:t>souligne</w:t>
      </w:r>
      <w:r>
        <w:rPr>
          <w:spacing w:val="-3"/>
        </w:rPr>
        <w:t> </w:t>
      </w:r>
      <w:r>
        <w:rPr/>
        <w:t>le caractère essentiel, durant</w:t>
      </w:r>
      <w:r>
        <w:rPr>
          <w:spacing w:val="-4"/>
        </w:rPr>
        <w:t> </w:t>
      </w:r>
      <w:r>
        <w:rPr/>
        <w:t>le</w:t>
      </w:r>
      <w:r>
        <w:rPr>
          <w:spacing w:val="-6"/>
        </w:rPr>
        <w:t> </w:t>
      </w:r>
      <w:r>
        <w:rPr/>
        <w:t>réquisitoire</w:t>
      </w:r>
      <w:r>
        <w:rPr>
          <w:spacing w:val="-6"/>
        </w:rPr>
        <w:t> </w:t>
      </w:r>
      <w:r>
        <w:rPr/>
        <w:t>et</w:t>
      </w:r>
      <w:r>
        <w:rPr>
          <w:spacing w:val="-4"/>
        </w:rPr>
        <w:t> </w:t>
      </w:r>
      <w:r>
        <w:rPr/>
        <w:t>les</w:t>
      </w:r>
      <w:r>
        <w:rPr>
          <w:spacing w:val="-5"/>
        </w:rPr>
        <w:t> </w:t>
      </w:r>
      <w:r>
        <w:rPr/>
        <w:t>plaidoiries,</w:t>
      </w:r>
      <w:r>
        <w:rPr>
          <w:spacing w:val="-5"/>
        </w:rPr>
        <w:t> </w:t>
      </w:r>
      <w:r>
        <w:rPr/>
        <w:t>de</w:t>
      </w:r>
      <w:r>
        <w:rPr>
          <w:spacing w:val="-6"/>
        </w:rPr>
        <w:t> </w:t>
      </w:r>
      <w:r>
        <w:rPr/>
        <w:t>la</w:t>
      </w:r>
      <w:r>
        <w:rPr>
          <w:spacing w:val="-5"/>
        </w:rPr>
        <w:t> </w:t>
      </w:r>
      <w:r>
        <w:rPr/>
        <w:t>présence</w:t>
      </w:r>
      <w:r>
        <w:rPr>
          <w:spacing w:val="-6"/>
        </w:rPr>
        <w:t> </w:t>
      </w:r>
      <w:r>
        <w:rPr/>
        <w:t>physique</w:t>
      </w:r>
      <w:r>
        <w:rPr>
          <w:spacing w:val="-6"/>
        </w:rPr>
        <w:t> </w:t>
      </w:r>
      <w:r>
        <w:rPr/>
        <w:t>des</w:t>
      </w:r>
      <w:r>
        <w:rPr>
          <w:spacing w:val="-5"/>
        </w:rPr>
        <w:t> </w:t>
      </w:r>
      <w:r>
        <w:rPr/>
        <w:t>parties</w:t>
      </w:r>
      <w:r>
        <w:rPr>
          <w:spacing w:val="-5"/>
        </w:rPr>
        <w:t> </w:t>
      </w:r>
      <w:r>
        <w:rPr/>
        <w:t>civiles</w:t>
      </w:r>
      <w:r>
        <w:rPr>
          <w:spacing w:val="-5"/>
        </w:rPr>
        <w:t> </w:t>
      </w:r>
      <w:r>
        <w:rPr/>
        <w:t>et</w:t>
      </w:r>
      <w:r>
        <w:rPr>
          <w:spacing w:val="-4"/>
        </w:rPr>
        <w:t> </w:t>
      </w:r>
      <w:r>
        <w:rPr/>
        <w:t>de</w:t>
      </w:r>
      <w:r>
        <w:rPr>
          <w:spacing w:val="-2"/>
        </w:rPr>
        <w:t> </w:t>
      </w:r>
      <w:r>
        <w:rPr/>
        <w:t>l’accusé,</w:t>
      </w:r>
      <w:r>
        <w:rPr>
          <w:spacing w:val="-5"/>
        </w:rPr>
        <w:t> </w:t>
      </w:r>
      <w:r>
        <w:rPr/>
        <w:t>en particulier lorsque l’accusé prend la parole en dernier. Dans ces conditions, les contraintes liées à l’épidémie,</w:t>
      </w:r>
      <w:r>
        <w:rPr>
          <w:spacing w:val="-2"/>
        </w:rPr>
        <w:t> </w:t>
      </w:r>
      <w:r>
        <w:rPr/>
        <w:t>les</w:t>
      </w:r>
      <w:r>
        <w:rPr>
          <w:spacing w:val="-2"/>
        </w:rPr>
        <w:t> </w:t>
      </w:r>
      <w:r>
        <w:rPr/>
        <w:t>avantages</w:t>
      </w:r>
      <w:r>
        <w:rPr>
          <w:spacing w:val="-2"/>
        </w:rPr>
        <w:t> </w:t>
      </w:r>
      <w:r>
        <w:rPr/>
        <w:t>de</w:t>
      </w:r>
      <w:r>
        <w:rPr>
          <w:spacing w:val="-3"/>
        </w:rPr>
        <w:t> </w:t>
      </w:r>
      <w:r>
        <w:rPr/>
        <w:t>la</w:t>
      </w:r>
      <w:r>
        <w:rPr>
          <w:spacing w:val="-2"/>
        </w:rPr>
        <w:t> </w:t>
      </w:r>
      <w:r>
        <w:rPr/>
        <w:t>visio-conférence</w:t>
      </w:r>
      <w:r>
        <w:rPr>
          <w:spacing w:val="-3"/>
        </w:rPr>
        <w:t> </w:t>
      </w:r>
      <w:r>
        <w:rPr/>
        <w:t>et</w:t>
      </w:r>
      <w:r>
        <w:rPr>
          <w:spacing w:val="-1"/>
        </w:rPr>
        <w:t> </w:t>
      </w:r>
      <w:r>
        <w:rPr/>
        <w:t>les</w:t>
      </w:r>
      <w:r>
        <w:rPr>
          <w:spacing w:val="-2"/>
        </w:rPr>
        <w:t> </w:t>
      </w:r>
      <w:r>
        <w:rPr/>
        <w:t>garanties</w:t>
      </w:r>
      <w:r>
        <w:rPr>
          <w:spacing w:val="-2"/>
        </w:rPr>
        <w:t> </w:t>
      </w:r>
      <w:r>
        <w:rPr/>
        <w:t>dont</w:t>
      </w:r>
      <w:r>
        <w:rPr>
          <w:spacing w:val="-1"/>
        </w:rPr>
        <w:t> </w:t>
      </w:r>
      <w:r>
        <w:rPr/>
        <w:t>elle</w:t>
      </w:r>
      <w:r>
        <w:rPr>
          <w:spacing w:val="-3"/>
        </w:rPr>
        <w:t> </w:t>
      </w:r>
      <w:r>
        <w:rPr/>
        <w:t>est</w:t>
      </w:r>
      <w:r>
        <w:rPr>
          <w:spacing w:val="-1"/>
        </w:rPr>
        <w:t> </w:t>
      </w:r>
      <w:r>
        <w:rPr/>
        <w:t>entourée</w:t>
      </w:r>
      <w:r>
        <w:rPr>
          <w:spacing w:val="-3"/>
        </w:rPr>
        <w:t> </w:t>
      </w:r>
      <w:r>
        <w:rPr/>
        <w:t>ne</w:t>
      </w:r>
      <w:r>
        <w:rPr>
          <w:spacing w:val="-3"/>
        </w:rPr>
        <w:t> </w:t>
      </w:r>
      <w:r>
        <w:rPr/>
        <w:t>suffisent pas à justifier l’atteinte ainsi portée aux principes fondateurs du procès criminel et aux droits des personnes physiques parties au procès.</w:t>
      </w:r>
    </w:p>
    <w:p>
      <w:pPr>
        <w:pStyle w:val="BodyText"/>
        <w:spacing w:before="268"/>
        <w:ind w:left="141" w:right="139"/>
        <w:jc w:val="both"/>
      </w:pPr>
      <w:r>
        <w:rPr/>
        <w:t>Par ailleurs,</w:t>
      </w:r>
      <w:r>
        <w:rPr>
          <w:spacing w:val="-2"/>
        </w:rPr>
        <w:t> </w:t>
      </w:r>
      <w:r>
        <w:rPr/>
        <w:t>le juge des référés formule une</w:t>
      </w:r>
      <w:r>
        <w:rPr>
          <w:spacing w:val="-3"/>
        </w:rPr>
        <w:t> </w:t>
      </w:r>
      <w:r>
        <w:rPr/>
        <w:t>réserve d’interprétation</w:t>
      </w:r>
      <w:r>
        <w:rPr>
          <w:spacing w:val="-1"/>
        </w:rPr>
        <w:t> </w:t>
      </w:r>
      <w:r>
        <w:rPr/>
        <w:t>concernant</w:t>
      </w:r>
      <w:r>
        <w:rPr>
          <w:spacing w:val="-1"/>
        </w:rPr>
        <w:t> </w:t>
      </w:r>
      <w:r>
        <w:rPr/>
        <w:t>le contentieux de la</w:t>
      </w:r>
      <w:r>
        <w:rPr>
          <w:spacing w:val="-5"/>
        </w:rPr>
        <w:t> </w:t>
      </w:r>
      <w:r>
        <w:rPr/>
        <w:t>détention</w:t>
      </w:r>
      <w:r>
        <w:rPr>
          <w:spacing w:val="-4"/>
        </w:rPr>
        <w:t> </w:t>
      </w:r>
      <w:r>
        <w:rPr/>
        <w:t>provisoire</w:t>
      </w:r>
      <w:r>
        <w:rPr>
          <w:spacing w:val="-6"/>
        </w:rPr>
        <w:t> </w:t>
      </w:r>
      <w:r>
        <w:rPr/>
        <w:t>devant</w:t>
      </w:r>
      <w:r>
        <w:rPr>
          <w:spacing w:val="-4"/>
        </w:rPr>
        <w:t> </w:t>
      </w:r>
      <w:r>
        <w:rPr/>
        <w:t>la</w:t>
      </w:r>
      <w:r>
        <w:rPr>
          <w:spacing w:val="-5"/>
        </w:rPr>
        <w:t> </w:t>
      </w:r>
      <w:r>
        <w:rPr/>
        <w:t>chambre</w:t>
      </w:r>
      <w:r>
        <w:rPr>
          <w:spacing w:val="-6"/>
        </w:rPr>
        <w:t> </w:t>
      </w:r>
      <w:r>
        <w:rPr/>
        <w:t>de</w:t>
      </w:r>
      <w:r>
        <w:rPr>
          <w:spacing w:val="-6"/>
        </w:rPr>
        <w:t> </w:t>
      </w:r>
      <w:r>
        <w:rPr/>
        <w:t>l’instruction,</w:t>
      </w:r>
      <w:r>
        <w:rPr>
          <w:spacing w:val="-5"/>
        </w:rPr>
        <w:t> </w:t>
      </w:r>
      <w:r>
        <w:rPr/>
        <w:t>compte</w:t>
      </w:r>
      <w:r>
        <w:rPr>
          <w:spacing w:val="-6"/>
        </w:rPr>
        <w:t> </w:t>
      </w:r>
      <w:r>
        <w:rPr/>
        <w:t>tenu</w:t>
      </w:r>
      <w:r>
        <w:rPr>
          <w:spacing w:val="-7"/>
        </w:rPr>
        <w:t> </w:t>
      </w:r>
      <w:r>
        <w:rPr/>
        <w:t>de</w:t>
      </w:r>
      <w:r>
        <w:rPr>
          <w:spacing w:val="-6"/>
        </w:rPr>
        <w:t> </w:t>
      </w:r>
      <w:r>
        <w:rPr/>
        <w:t>trois</w:t>
      </w:r>
      <w:r>
        <w:rPr>
          <w:spacing w:val="-5"/>
        </w:rPr>
        <w:t> </w:t>
      </w:r>
      <w:r>
        <w:rPr/>
        <w:t>récentes</w:t>
      </w:r>
      <w:r>
        <w:rPr>
          <w:spacing w:val="-5"/>
        </w:rPr>
        <w:t> </w:t>
      </w:r>
      <w:r>
        <w:rPr/>
        <w:t>décisions du Conseil constitutionnel sur ce sujet</w:t>
      </w:r>
      <w:hyperlink w:history="true" w:anchor="_bookmark0">
        <w:r>
          <w:rPr>
            <w:vertAlign w:val="superscript"/>
          </w:rPr>
          <w:t>1</w:t>
        </w:r>
      </w:hyperlink>
      <w:r>
        <w:rPr>
          <w:vertAlign w:val="baseline"/>
        </w:rPr>
        <w:t>. Il souligne l’obligation particulière, en matière criminelle, qui pèse sur le président de la chambre de l’instruction de s’assurer que la personne détenue a la possibilité de comparaître physiquement avec une périodicité raisonnable.</w:t>
      </w:r>
    </w:p>
    <w:p>
      <w:pPr>
        <w:pStyle w:val="BodyText"/>
        <w:spacing w:before="1"/>
      </w:pPr>
    </w:p>
    <w:p>
      <w:pPr>
        <w:pStyle w:val="BodyText"/>
        <w:ind w:left="140" w:right="139"/>
        <w:jc w:val="both"/>
      </w:pPr>
      <w:r>
        <w:rPr/>
        <w:t>Le juge des référés rejette en revanche</w:t>
      </w:r>
      <w:r>
        <w:rPr>
          <w:spacing w:val="-3"/>
        </w:rPr>
        <w:t> </w:t>
      </w:r>
      <w:r>
        <w:rPr/>
        <w:t>les autres demandes des requérants. Il relève en</w:t>
      </w:r>
      <w:r>
        <w:rPr>
          <w:spacing w:val="-1"/>
        </w:rPr>
        <w:t> </w:t>
      </w:r>
      <w:r>
        <w:rPr/>
        <w:t>effet que le</w:t>
      </w:r>
      <w:r>
        <w:rPr>
          <w:spacing w:val="-4"/>
        </w:rPr>
        <w:t> </w:t>
      </w:r>
      <w:r>
        <w:rPr/>
        <w:t>recours</w:t>
      </w:r>
      <w:r>
        <w:rPr>
          <w:spacing w:val="-7"/>
        </w:rPr>
        <w:t> </w:t>
      </w:r>
      <w:r>
        <w:rPr/>
        <w:t>accru</w:t>
      </w:r>
      <w:r>
        <w:rPr>
          <w:spacing w:val="-5"/>
        </w:rPr>
        <w:t> </w:t>
      </w:r>
      <w:r>
        <w:rPr/>
        <w:t>à</w:t>
      </w:r>
      <w:r>
        <w:rPr>
          <w:spacing w:val="-7"/>
        </w:rPr>
        <w:t> </w:t>
      </w:r>
      <w:r>
        <w:rPr/>
        <w:t>la</w:t>
      </w:r>
      <w:r>
        <w:rPr>
          <w:spacing w:val="-3"/>
        </w:rPr>
        <w:t> </w:t>
      </w:r>
      <w:r>
        <w:rPr/>
        <w:t>visio-conférence</w:t>
      </w:r>
      <w:r>
        <w:rPr>
          <w:spacing w:val="-4"/>
        </w:rPr>
        <w:t> </w:t>
      </w:r>
      <w:r>
        <w:rPr/>
        <w:t>est</w:t>
      </w:r>
      <w:r>
        <w:rPr>
          <w:spacing w:val="-6"/>
        </w:rPr>
        <w:t> </w:t>
      </w:r>
      <w:r>
        <w:rPr/>
        <w:t>rendu</w:t>
      </w:r>
      <w:r>
        <w:rPr>
          <w:spacing w:val="-5"/>
        </w:rPr>
        <w:t> </w:t>
      </w:r>
      <w:r>
        <w:rPr/>
        <w:t>nécessaire</w:t>
      </w:r>
      <w:r>
        <w:rPr>
          <w:spacing w:val="-4"/>
        </w:rPr>
        <w:t> </w:t>
      </w:r>
      <w:r>
        <w:rPr/>
        <w:t>par</w:t>
      </w:r>
      <w:r>
        <w:rPr>
          <w:spacing w:val="-5"/>
        </w:rPr>
        <w:t> </w:t>
      </w:r>
      <w:r>
        <w:rPr/>
        <w:t>les</w:t>
      </w:r>
      <w:r>
        <w:rPr>
          <w:spacing w:val="-7"/>
        </w:rPr>
        <w:t> </w:t>
      </w:r>
      <w:r>
        <w:rPr/>
        <w:t>grandes</w:t>
      </w:r>
      <w:r>
        <w:rPr>
          <w:spacing w:val="-3"/>
        </w:rPr>
        <w:t> </w:t>
      </w:r>
      <w:r>
        <w:rPr/>
        <w:t>difficultés</w:t>
      </w:r>
      <w:r>
        <w:rPr>
          <w:spacing w:val="-3"/>
        </w:rPr>
        <w:t> </w:t>
      </w:r>
      <w:r>
        <w:rPr/>
        <w:t>pratiques</w:t>
      </w:r>
      <w:r>
        <w:rPr>
          <w:spacing w:val="-3"/>
        </w:rPr>
        <w:t> </w:t>
      </w:r>
      <w:r>
        <w:rPr/>
        <w:t>que rencontre l'administration pénitentiaire pour effectuer les extractions des détenus compte tenu des contraintes particulièrement lourdes qu’impose la situation sanitaire actuelle et par la lutte contre la propagation de l’épidémie au sein des établissements pénitentiaires et des juridictions judiciaires. En outre, les dispositions contestées se bornent à offrir une faculté aux magistrats, auxquels il appartient, dans chaque cas, d’apprécier</w:t>
      </w:r>
      <w:r>
        <w:rPr>
          <w:spacing w:val="15"/>
        </w:rPr>
        <w:t> </w:t>
      </w:r>
      <w:r>
        <w:rPr/>
        <w:t>si ces difficultés justifient l’usage de la visio-</w:t>
      </w:r>
    </w:p>
    <w:p>
      <w:pPr>
        <w:pStyle w:val="BodyText"/>
        <w:spacing w:before="3"/>
        <w:rPr>
          <w:sz w:val="13"/>
        </w:rPr>
      </w:pPr>
      <w:r>
        <w:rPr>
          <w:sz w:val="13"/>
        </w:rPr>
        <mc:AlternateContent>
          <mc:Choice Requires="wps">
            <w:drawing>
              <wp:anchor distT="0" distB="0" distL="0" distR="0" allowOverlap="1" layoutInCell="1" locked="0" behindDoc="1" simplePos="0" relativeHeight="487587840">
                <wp:simplePos x="0" y="0"/>
                <wp:positionH relativeFrom="page">
                  <wp:posOffset>899160</wp:posOffset>
                </wp:positionH>
                <wp:positionV relativeFrom="paragraph">
                  <wp:posOffset>118172</wp:posOffset>
                </wp:positionV>
                <wp:extent cx="1828800" cy="10160"/>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1828800" cy="10160"/>
                        </a:xfrm>
                        <a:custGeom>
                          <a:avLst/>
                          <a:gdLst/>
                          <a:ahLst/>
                          <a:cxnLst/>
                          <a:rect l="l" t="t" r="r" b="b"/>
                          <a:pathLst>
                            <a:path w="1828800" h="10160">
                              <a:moveTo>
                                <a:pt x="1828800" y="0"/>
                              </a:moveTo>
                              <a:lnTo>
                                <a:pt x="0" y="0"/>
                              </a:lnTo>
                              <a:lnTo>
                                <a:pt x="0" y="10159"/>
                              </a:lnTo>
                              <a:lnTo>
                                <a:pt x="1828800" y="1015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0.800003pt;margin-top:9.304883pt;width:144pt;height:.8pt;mso-position-horizontal-relative:page;mso-position-vertical-relative:paragraph;z-index:-15728640;mso-wrap-distance-left:0;mso-wrap-distance-right:0" id="docshape1" filled="true" fillcolor="#000000" stroked="false">
                <v:fill type="solid"/>
                <w10:wrap type="topAndBottom"/>
              </v:rect>
            </w:pict>
          </mc:Fallback>
        </mc:AlternateContent>
      </w:r>
    </w:p>
    <w:p>
      <w:pPr>
        <w:spacing w:before="101"/>
        <w:ind w:left="140" w:right="0" w:firstLine="0"/>
        <w:jc w:val="left"/>
        <w:rPr>
          <w:rFonts w:ascii="Calibri" w:hAnsi="Calibri"/>
          <w:sz w:val="20"/>
        </w:rPr>
      </w:pPr>
      <w:bookmarkStart w:name="_bookmark0" w:id="1"/>
      <w:bookmarkEnd w:id="1"/>
      <w:r>
        <w:rPr/>
      </w:r>
      <w:r>
        <w:rPr>
          <w:rFonts w:ascii="Calibri" w:hAnsi="Calibri"/>
          <w:sz w:val="20"/>
          <w:vertAlign w:val="superscript"/>
        </w:rPr>
        <w:t>1</w:t>
      </w:r>
      <w:r>
        <w:rPr>
          <w:rFonts w:ascii="Calibri" w:hAnsi="Calibri"/>
          <w:spacing w:val="-3"/>
          <w:sz w:val="20"/>
          <w:vertAlign w:val="baseline"/>
        </w:rPr>
        <w:t> </w:t>
      </w:r>
      <w:r>
        <w:rPr>
          <w:rFonts w:ascii="Calibri" w:hAnsi="Calibri"/>
          <w:sz w:val="20"/>
          <w:vertAlign w:val="baseline"/>
        </w:rPr>
        <w:t>n°</w:t>
      </w:r>
      <w:r>
        <w:rPr>
          <w:rFonts w:ascii="Calibri" w:hAnsi="Calibri"/>
          <w:sz w:val="20"/>
          <w:vertAlign w:val="superscript"/>
        </w:rPr>
        <w:t>s</w:t>
      </w:r>
      <w:r>
        <w:rPr>
          <w:rFonts w:ascii="Calibri" w:hAnsi="Calibri"/>
          <w:spacing w:val="-2"/>
          <w:sz w:val="20"/>
          <w:vertAlign w:val="baseline"/>
        </w:rPr>
        <w:t> </w:t>
      </w:r>
      <w:r>
        <w:rPr>
          <w:rFonts w:ascii="Calibri" w:hAnsi="Calibri"/>
          <w:sz w:val="20"/>
          <w:vertAlign w:val="baseline"/>
        </w:rPr>
        <w:t>2019-778 DC</w:t>
      </w:r>
      <w:r>
        <w:rPr>
          <w:rFonts w:ascii="Calibri" w:hAnsi="Calibri"/>
          <w:spacing w:val="-1"/>
          <w:sz w:val="20"/>
          <w:vertAlign w:val="baseline"/>
        </w:rPr>
        <w:t> </w:t>
      </w:r>
      <w:r>
        <w:rPr>
          <w:rFonts w:ascii="Calibri" w:hAnsi="Calibri"/>
          <w:sz w:val="20"/>
          <w:vertAlign w:val="baseline"/>
        </w:rPr>
        <w:t>du</w:t>
      </w:r>
      <w:r>
        <w:rPr>
          <w:rFonts w:ascii="Calibri" w:hAnsi="Calibri"/>
          <w:spacing w:val="-5"/>
          <w:sz w:val="20"/>
          <w:vertAlign w:val="baseline"/>
        </w:rPr>
        <w:t> </w:t>
      </w:r>
      <w:r>
        <w:rPr>
          <w:rFonts w:ascii="Calibri" w:hAnsi="Calibri"/>
          <w:sz w:val="20"/>
          <w:vertAlign w:val="baseline"/>
        </w:rPr>
        <w:t>21</w:t>
      </w:r>
      <w:r>
        <w:rPr>
          <w:rFonts w:ascii="Calibri" w:hAnsi="Calibri"/>
          <w:spacing w:val="-4"/>
          <w:sz w:val="20"/>
          <w:vertAlign w:val="baseline"/>
        </w:rPr>
        <w:t> </w:t>
      </w:r>
      <w:r>
        <w:rPr>
          <w:rFonts w:ascii="Calibri" w:hAnsi="Calibri"/>
          <w:sz w:val="20"/>
          <w:vertAlign w:val="baseline"/>
        </w:rPr>
        <w:t>mars</w:t>
      </w:r>
      <w:r>
        <w:rPr>
          <w:rFonts w:ascii="Calibri" w:hAnsi="Calibri"/>
          <w:spacing w:val="3"/>
          <w:sz w:val="20"/>
          <w:vertAlign w:val="baseline"/>
        </w:rPr>
        <w:t> </w:t>
      </w:r>
      <w:r>
        <w:rPr>
          <w:rFonts w:ascii="Calibri" w:hAnsi="Calibri"/>
          <w:sz w:val="20"/>
          <w:vertAlign w:val="baseline"/>
        </w:rPr>
        <w:t>2019,</w:t>
      </w:r>
      <w:r>
        <w:rPr>
          <w:rFonts w:ascii="Calibri" w:hAnsi="Calibri"/>
          <w:spacing w:val="-1"/>
          <w:sz w:val="20"/>
          <w:vertAlign w:val="baseline"/>
        </w:rPr>
        <w:t> </w:t>
      </w:r>
      <w:r>
        <w:rPr>
          <w:rFonts w:ascii="Calibri" w:hAnsi="Calibri"/>
          <w:sz w:val="20"/>
          <w:vertAlign w:val="baseline"/>
        </w:rPr>
        <w:t>2019-802</w:t>
      </w:r>
      <w:r>
        <w:rPr>
          <w:rFonts w:ascii="Calibri" w:hAnsi="Calibri"/>
          <w:spacing w:val="-5"/>
          <w:sz w:val="20"/>
          <w:vertAlign w:val="baseline"/>
        </w:rPr>
        <w:t> </w:t>
      </w:r>
      <w:r>
        <w:rPr>
          <w:rFonts w:ascii="Calibri" w:hAnsi="Calibri"/>
          <w:sz w:val="20"/>
          <w:vertAlign w:val="baseline"/>
        </w:rPr>
        <w:t>QPC</w:t>
      </w:r>
      <w:r>
        <w:rPr>
          <w:rFonts w:ascii="Calibri" w:hAnsi="Calibri"/>
          <w:spacing w:val="3"/>
          <w:sz w:val="20"/>
          <w:vertAlign w:val="baseline"/>
        </w:rPr>
        <w:t> </w:t>
      </w:r>
      <w:r>
        <w:rPr>
          <w:rFonts w:ascii="Calibri" w:hAnsi="Calibri"/>
          <w:sz w:val="20"/>
          <w:vertAlign w:val="baseline"/>
        </w:rPr>
        <w:t>du</w:t>
      </w:r>
      <w:r>
        <w:rPr>
          <w:rFonts w:ascii="Calibri" w:hAnsi="Calibri"/>
          <w:spacing w:val="-4"/>
          <w:sz w:val="20"/>
          <w:vertAlign w:val="baseline"/>
        </w:rPr>
        <w:t> </w:t>
      </w:r>
      <w:r>
        <w:rPr>
          <w:rFonts w:ascii="Calibri" w:hAnsi="Calibri"/>
          <w:sz w:val="20"/>
          <w:vertAlign w:val="baseline"/>
        </w:rPr>
        <w:t>20</w:t>
      </w:r>
      <w:r>
        <w:rPr>
          <w:rFonts w:ascii="Calibri" w:hAnsi="Calibri"/>
          <w:spacing w:val="-4"/>
          <w:sz w:val="20"/>
          <w:vertAlign w:val="baseline"/>
        </w:rPr>
        <w:t> </w:t>
      </w:r>
      <w:r>
        <w:rPr>
          <w:rFonts w:ascii="Calibri" w:hAnsi="Calibri"/>
          <w:sz w:val="20"/>
          <w:vertAlign w:val="baseline"/>
        </w:rPr>
        <w:t>septembre</w:t>
      </w:r>
      <w:r>
        <w:rPr>
          <w:rFonts w:ascii="Calibri" w:hAnsi="Calibri"/>
          <w:spacing w:val="-2"/>
          <w:sz w:val="20"/>
          <w:vertAlign w:val="baseline"/>
        </w:rPr>
        <w:t> </w:t>
      </w:r>
      <w:r>
        <w:rPr>
          <w:rFonts w:ascii="Calibri" w:hAnsi="Calibri"/>
          <w:sz w:val="20"/>
          <w:vertAlign w:val="baseline"/>
        </w:rPr>
        <w:t>2019</w:t>
      </w:r>
      <w:r>
        <w:rPr>
          <w:rFonts w:ascii="Calibri" w:hAnsi="Calibri"/>
          <w:spacing w:val="-1"/>
          <w:sz w:val="20"/>
          <w:vertAlign w:val="baseline"/>
        </w:rPr>
        <w:t> </w:t>
      </w:r>
      <w:r>
        <w:rPr>
          <w:rFonts w:ascii="Calibri" w:hAnsi="Calibri"/>
          <w:sz w:val="20"/>
          <w:vertAlign w:val="baseline"/>
        </w:rPr>
        <w:t>et</w:t>
      </w:r>
      <w:r>
        <w:rPr>
          <w:rFonts w:ascii="Calibri" w:hAnsi="Calibri"/>
          <w:spacing w:val="-2"/>
          <w:sz w:val="20"/>
          <w:vertAlign w:val="baseline"/>
        </w:rPr>
        <w:t> </w:t>
      </w:r>
      <w:r>
        <w:rPr>
          <w:rFonts w:ascii="Calibri" w:hAnsi="Calibri"/>
          <w:sz w:val="20"/>
          <w:vertAlign w:val="baseline"/>
        </w:rPr>
        <w:t>2020-836 QPC</w:t>
      </w:r>
      <w:r>
        <w:rPr>
          <w:rFonts w:ascii="Calibri" w:hAnsi="Calibri"/>
          <w:spacing w:val="-1"/>
          <w:sz w:val="20"/>
          <w:vertAlign w:val="baseline"/>
        </w:rPr>
        <w:t> </w:t>
      </w:r>
      <w:r>
        <w:rPr>
          <w:rFonts w:ascii="Calibri" w:hAnsi="Calibri"/>
          <w:sz w:val="20"/>
          <w:vertAlign w:val="baseline"/>
        </w:rPr>
        <w:t>du</w:t>
      </w:r>
      <w:r>
        <w:rPr>
          <w:rFonts w:ascii="Calibri" w:hAnsi="Calibri"/>
          <w:spacing w:val="-5"/>
          <w:sz w:val="20"/>
          <w:vertAlign w:val="baseline"/>
        </w:rPr>
        <w:t> </w:t>
      </w:r>
      <w:r>
        <w:rPr>
          <w:rFonts w:ascii="Calibri" w:hAnsi="Calibri"/>
          <w:sz w:val="20"/>
          <w:vertAlign w:val="baseline"/>
        </w:rPr>
        <w:t>30</w:t>
      </w:r>
      <w:r>
        <w:rPr>
          <w:rFonts w:ascii="Calibri" w:hAnsi="Calibri"/>
          <w:spacing w:val="-4"/>
          <w:sz w:val="20"/>
          <w:vertAlign w:val="baseline"/>
        </w:rPr>
        <w:t> </w:t>
      </w:r>
      <w:r>
        <w:rPr>
          <w:rFonts w:ascii="Calibri" w:hAnsi="Calibri"/>
          <w:sz w:val="20"/>
          <w:vertAlign w:val="baseline"/>
        </w:rPr>
        <w:t>avril</w:t>
      </w:r>
      <w:r>
        <w:rPr>
          <w:rFonts w:ascii="Calibri" w:hAnsi="Calibri"/>
          <w:spacing w:val="-1"/>
          <w:sz w:val="20"/>
          <w:vertAlign w:val="baseline"/>
        </w:rPr>
        <w:t> </w:t>
      </w:r>
      <w:r>
        <w:rPr>
          <w:rFonts w:ascii="Calibri" w:hAnsi="Calibri"/>
          <w:spacing w:val="-2"/>
          <w:sz w:val="20"/>
          <w:vertAlign w:val="baseline"/>
        </w:rPr>
        <w:t>2020.</w:t>
      </w:r>
    </w:p>
    <w:p>
      <w:pPr>
        <w:spacing w:after="0"/>
        <w:jc w:val="left"/>
        <w:rPr>
          <w:rFonts w:ascii="Calibri" w:hAnsi="Calibri"/>
          <w:sz w:val="20"/>
        </w:rPr>
        <w:sectPr>
          <w:type w:val="continuous"/>
          <w:pgSz w:w="11910" w:h="16840"/>
          <w:pgMar w:top="640" w:bottom="280" w:left="1275" w:right="1275"/>
        </w:sectPr>
      </w:pPr>
    </w:p>
    <w:p>
      <w:pPr>
        <w:pStyle w:val="BodyText"/>
        <w:spacing w:before="38"/>
        <w:ind w:left="140" w:right="137"/>
        <w:jc w:val="both"/>
      </w:pPr>
      <w:r>
        <w:rPr/>
        <w:t>conférence</w:t>
      </w:r>
      <w:r>
        <w:rPr>
          <w:spacing w:val="-11"/>
        </w:rPr>
        <w:t> </w:t>
      </w:r>
      <w:r>
        <w:rPr/>
        <w:t>au</w:t>
      </w:r>
      <w:r>
        <w:rPr>
          <w:spacing w:val="-8"/>
        </w:rPr>
        <w:t> </w:t>
      </w:r>
      <w:r>
        <w:rPr/>
        <w:t>regard</w:t>
      </w:r>
      <w:r>
        <w:rPr>
          <w:spacing w:val="-7"/>
        </w:rPr>
        <w:t> </w:t>
      </w:r>
      <w:r>
        <w:rPr/>
        <w:t>notamment</w:t>
      </w:r>
      <w:r>
        <w:rPr>
          <w:spacing w:val="-5"/>
        </w:rPr>
        <w:t> </w:t>
      </w:r>
      <w:r>
        <w:rPr/>
        <w:t>de</w:t>
      </w:r>
      <w:r>
        <w:rPr>
          <w:spacing w:val="-11"/>
        </w:rPr>
        <w:t> </w:t>
      </w:r>
      <w:r>
        <w:rPr/>
        <w:t>l’état</w:t>
      </w:r>
      <w:r>
        <w:rPr>
          <w:spacing w:val="-9"/>
        </w:rPr>
        <w:t> </w:t>
      </w:r>
      <w:r>
        <w:rPr/>
        <w:t>de</w:t>
      </w:r>
      <w:r>
        <w:rPr>
          <w:spacing w:val="-7"/>
        </w:rPr>
        <w:t> </w:t>
      </w:r>
      <w:r>
        <w:rPr/>
        <w:t>santé</w:t>
      </w:r>
      <w:r>
        <w:rPr>
          <w:spacing w:val="-7"/>
        </w:rPr>
        <w:t> </w:t>
      </w:r>
      <w:r>
        <w:rPr/>
        <w:t>du</w:t>
      </w:r>
      <w:r>
        <w:rPr>
          <w:spacing w:val="-8"/>
        </w:rPr>
        <w:t> </w:t>
      </w:r>
      <w:r>
        <w:rPr/>
        <w:t>détenu</w:t>
      </w:r>
      <w:r>
        <w:rPr>
          <w:spacing w:val="-8"/>
        </w:rPr>
        <w:t> </w:t>
      </w:r>
      <w:r>
        <w:rPr/>
        <w:t>et</w:t>
      </w:r>
      <w:r>
        <w:rPr>
          <w:spacing w:val="-5"/>
        </w:rPr>
        <w:t> </w:t>
      </w:r>
      <w:r>
        <w:rPr/>
        <w:t>de</w:t>
      </w:r>
      <w:r>
        <w:rPr>
          <w:spacing w:val="-7"/>
        </w:rPr>
        <w:t> </w:t>
      </w:r>
      <w:r>
        <w:rPr/>
        <w:t>l’enjeu</w:t>
      </w:r>
      <w:r>
        <w:rPr>
          <w:spacing w:val="-8"/>
        </w:rPr>
        <w:t> </w:t>
      </w:r>
      <w:r>
        <w:rPr/>
        <w:t>de</w:t>
      </w:r>
      <w:r>
        <w:rPr>
          <w:spacing w:val="-11"/>
        </w:rPr>
        <w:t> </w:t>
      </w:r>
      <w:r>
        <w:rPr/>
        <w:t>l’audience</w:t>
      </w:r>
      <w:r>
        <w:rPr>
          <w:spacing w:val="-7"/>
        </w:rPr>
        <w:t> </w:t>
      </w:r>
      <w:r>
        <w:rPr/>
        <w:t>en</w:t>
      </w:r>
      <w:r>
        <w:rPr>
          <w:spacing w:val="-5"/>
        </w:rPr>
        <w:t> </w:t>
      </w:r>
      <w:r>
        <w:rPr/>
        <w:t>cause. Il leur appartient également, ainsi que le prévoient les dispositions en litige, de s’assurer que le moyen de télécommunication utilisé permet de certifier l'identité des personnes et garantit la qualité de la transmission ainsi</w:t>
      </w:r>
      <w:r>
        <w:rPr>
          <w:spacing w:val="-1"/>
        </w:rPr>
        <w:t> </w:t>
      </w:r>
      <w:r>
        <w:rPr/>
        <w:t>que la confidentialité des échanges, en particulier entre l’avocat et son client. Enfin, l’usage de la visio-conférence peut permettre d’éviter le report des audiences et contribue ainsi au respect du droit des justiciables à ce que leur cause soit entendue dans un délai </w:t>
      </w:r>
      <w:r>
        <w:rPr>
          <w:spacing w:val="-2"/>
        </w:rPr>
        <w:t>raisonnable.</w:t>
      </w:r>
    </w:p>
    <w:p>
      <w:pPr>
        <w:pStyle w:val="BodyText"/>
        <w:spacing w:before="268"/>
        <w:ind w:left="140" w:right="138"/>
        <w:jc w:val="both"/>
      </w:pPr>
      <w:r>
        <w:rPr/>
        <w:t>Concernant</w:t>
      </w:r>
      <w:r>
        <w:rPr>
          <w:spacing w:val="-12"/>
        </w:rPr>
        <w:t> </w:t>
      </w:r>
      <w:r>
        <w:rPr/>
        <w:t>la</w:t>
      </w:r>
      <w:r>
        <w:rPr>
          <w:spacing w:val="-12"/>
        </w:rPr>
        <w:t> </w:t>
      </w:r>
      <w:r>
        <w:rPr/>
        <w:t>possibilité</w:t>
      </w:r>
      <w:r>
        <w:rPr>
          <w:spacing w:val="-12"/>
        </w:rPr>
        <w:t> </w:t>
      </w:r>
      <w:r>
        <w:rPr/>
        <w:t>de</w:t>
      </w:r>
      <w:r>
        <w:rPr>
          <w:spacing w:val="-12"/>
        </w:rPr>
        <w:t> </w:t>
      </w:r>
      <w:r>
        <w:rPr/>
        <w:t>restreindre</w:t>
      </w:r>
      <w:r>
        <w:rPr>
          <w:spacing w:val="-12"/>
        </w:rPr>
        <w:t> </w:t>
      </w:r>
      <w:r>
        <w:rPr/>
        <w:t>l’accès</w:t>
      </w:r>
      <w:r>
        <w:rPr>
          <w:spacing w:val="-12"/>
        </w:rPr>
        <w:t> </w:t>
      </w:r>
      <w:r>
        <w:rPr/>
        <w:t>du</w:t>
      </w:r>
      <w:r>
        <w:rPr>
          <w:spacing w:val="-12"/>
        </w:rPr>
        <w:t> </w:t>
      </w:r>
      <w:r>
        <w:rPr/>
        <w:t>public</w:t>
      </w:r>
      <w:r>
        <w:rPr>
          <w:spacing w:val="-12"/>
        </w:rPr>
        <w:t> </w:t>
      </w:r>
      <w:r>
        <w:rPr/>
        <w:t>à</w:t>
      </w:r>
      <w:r>
        <w:rPr>
          <w:spacing w:val="-12"/>
        </w:rPr>
        <w:t> </w:t>
      </w:r>
      <w:r>
        <w:rPr/>
        <w:t>l’audience,</w:t>
      </w:r>
      <w:r>
        <w:rPr>
          <w:spacing w:val="-12"/>
        </w:rPr>
        <w:t> </w:t>
      </w:r>
      <w:r>
        <w:rPr/>
        <w:t>si</w:t>
      </w:r>
      <w:r>
        <w:rPr>
          <w:spacing w:val="-12"/>
        </w:rPr>
        <w:t> </w:t>
      </w:r>
      <w:r>
        <w:rPr/>
        <w:t>le</w:t>
      </w:r>
      <w:r>
        <w:rPr>
          <w:spacing w:val="-12"/>
        </w:rPr>
        <w:t> </w:t>
      </w:r>
      <w:r>
        <w:rPr/>
        <w:t>juge</w:t>
      </w:r>
      <w:r>
        <w:rPr>
          <w:spacing w:val="-11"/>
        </w:rPr>
        <w:t> </w:t>
      </w:r>
      <w:r>
        <w:rPr/>
        <w:t>ne</w:t>
      </w:r>
      <w:r>
        <w:rPr>
          <w:spacing w:val="-12"/>
        </w:rPr>
        <w:t> </w:t>
      </w:r>
      <w:r>
        <w:rPr/>
        <w:t>suspend</w:t>
      </w:r>
      <w:r>
        <w:rPr>
          <w:spacing w:val="-12"/>
        </w:rPr>
        <w:t> </w:t>
      </w:r>
      <w:r>
        <w:rPr/>
        <w:t>pas</w:t>
      </w:r>
      <w:r>
        <w:rPr>
          <w:spacing w:val="-12"/>
        </w:rPr>
        <w:t> </w:t>
      </w:r>
      <w:r>
        <w:rPr/>
        <w:t>cette mesure, il précise toutefois qu’elle ne concerne pas les journalistes et qu’il appartient aux magistrats</w:t>
      </w:r>
      <w:r>
        <w:rPr>
          <w:spacing w:val="-2"/>
        </w:rPr>
        <w:t> </w:t>
      </w:r>
      <w:r>
        <w:rPr/>
        <w:t>de s’assurer qu’elle</w:t>
      </w:r>
      <w:r>
        <w:rPr>
          <w:spacing w:val="-3"/>
        </w:rPr>
        <w:t> </w:t>
      </w:r>
      <w:r>
        <w:rPr/>
        <w:t>est justifiée</w:t>
      </w:r>
      <w:r>
        <w:rPr>
          <w:spacing w:val="-3"/>
        </w:rPr>
        <w:t> </w:t>
      </w:r>
      <w:r>
        <w:rPr/>
        <w:t>et proportionnée à</w:t>
      </w:r>
      <w:r>
        <w:rPr>
          <w:spacing w:val="-2"/>
        </w:rPr>
        <w:t> </w:t>
      </w:r>
      <w:r>
        <w:rPr/>
        <w:t>la</w:t>
      </w:r>
      <w:r>
        <w:rPr>
          <w:spacing w:val="-2"/>
        </w:rPr>
        <w:t> </w:t>
      </w:r>
      <w:r>
        <w:rPr/>
        <w:t>situation</w:t>
      </w:r>
      <w:r>
        <w:rPr>
          <w:spacing w:val="-1"/>
        </w:rPr>
        <w:t> </w:t>
      </w:r>
      <w:r>
        <w:rPr/>
        <w:t>sanitaire au</w:t>
      </w:r>
      <w:r>
        <w:rPr>
          <w:spacing w:val="-4"/>
        </w:rPr>
        <w:t> </w:t>
      </w:r>
      <w:r>
        <w:rPr/>
        <w:t>moment de </w:t>
      </w:r>
      <w:r>
        <w:rPr>
          <w:spacing w:val="-2"/>
        </w:rPr>
        <w:t>l’audience.</w:t>
      </w:r>
    </w:p>
    <w:p>
      <w:pPr>
        <w:pStyle w:val="BodyText"/>
      </w:pPr>
    </w:p>
    <w:p>
      <w:pPr>
        <w:pStyle w:val="BodyText"/>
      </w:pPr>
    </w:p>
    <w:p>
      <w:pPr>
        <w:pStyle w:val="BodyText"/>
        <w:spacing w:before="24"/>
      </w:pPr>
    </w:p>
    <w:p>
      <w:pPr>
        <w:spacing w:before="0"/>
        <w:ind w:left="0" w:right="142" w:firstLine="0"/>
        <w:jc w:val="right"/>
        <w:rPr>
          <w:b/>
          <w:sz w:val="22"/>
        </w:rPr>
      </w:pPr>
      <w:r>
        <w:rPr>
          <w:b/>
          <w:sz w:val="22"/>
        </w:rPr>
        <w:t>Contacts</w:t>
      </w:r>
      <w:r>
        <w:rPr>
          <w:b/>
          <w:spacing w:val="-2"/>
          <w:sz w:val="22"/>
        </w:rPr>
        <w:t> presse</w:t>
      </w:r>
    </w:p>
    <w:p>
      <w:pPr>
        <w:pStyle w:val="BodyText"/>
        <w:spacing w:before="20"/>
        <w:ind w:right="140"/>
        <w:jc w:val="right"/>
      </w:pPr>
      <w:r>
        <w:rPr/>
        <w:t>Xabi</w:t>
      </w:r>
      <w:r>
        <w:rPr>
          <w:spacing w:val="-4"/>
        </w:rPr>
        <w:t> </w:t>
      </w:r>
      <w:r>
        <w:rPr/>
        <w:t>Velazquez</w:t>
      </w:r>
      <w:r>
        <w:rPr>
          <w:spacing w:val="-1"/>
        </w:rPr>
        <w:t> </w:t>
      </w:r>
      <w:r>
        <w:rPr/>
        <w:t>–</w:t>
      </w:r>
      <w:r>
        <w:rPr>
          <w:spacing w:val="1"/>
        </w:rPr>
        <w:t> </w:t>
      </w:r>
      <w:r>
        <w:rPr/>
        <w:t>tel.</w:t>
      </w:r>
      <w:r>
        <w:rPr>
          <w:spacing w:val="-5"/>
        </w:rPr>
        <w:t> </w:t>
      </w:r>
      <w:r>
        <w:rPr/>
        <w:t>01</w:t>
      </w:r>
      <w:r>
        <w:rPr>
          <w:spacing w:val="-2"/>
        </w:rPr>
        <w:t> </w:t>
      </w:r>
      <w:r>
        <w:rPr/>
        <w:t>72</w:t>
      </w:r>
      <w:r>
        <w:rPr>
          <w:spacing w:val="-3"/>
        </w:rPr>
        <w:t> </w:t>
      </w:r>
      <w:r>
        <w:rPr/>
        <w:t>60</w:t>
      </w:r>
      <w:r>
        <w:rPr>
          <w:spacing w:val="-2"/>
        </w:rPr>
        <w:t> </w:t>
      </w:r>
      <w:r>
        <w:rPr/>
        <w:t>58</w:t>
      </w:r>
      <w:r>
        <w:rPr>
          <w:spacing w:val="-2"/>
        </w:rPr>
        <w:t> </w:t>
      </w:r>
      <w:r>
        <w:rPr/>
        <w:t>34</w:t>
      </w:r>
      <w:r>
        <w:rPr>
          <w:spacing w:val="-3"/>
        </w:rPr>
        <w:t> </w:t>
      </w:r>
      <w:r>
        <w:rPr/>
        <w:t>–</w:t>
      </w:r>
      <w:r>
        <w:rPr>
          <w:spacing w:val="1"/>
        </w:rPr>
        <w:t> </w:t>
      </w:r>
      <w:hyperlink r:id="rId7">
        <w:r>
          <w:rPr>
            <w:color w:val="0562C1"/>
            <w:u w:val="single" w:color="0562C1"/>
          </w:rPr>
          <w:t>xabi.velazquez@conseil-</w:t>
        </w:r>
        <w:r>
          <w:rPr>
            <w:color w:val="0562C1"/>
            <w:spacing w:val="-2"/>
            <w:u w:val="single" w:color="0562C1"/>
          </w:rPr>
          <w:t>etat.fr</w:t>
        </w:r>
      </w:hyperlink>
    </w:p>
    <w:p>
      <w:pPr>
        <w:pStyle w:val="BodyText"/>
        <w:spacing w:before="23"/>
        <w:ind w:right="141"/>
        <w:jc w:val="right"/>
      </w:pPr>
      <w:r>
        <w:rPr/>
        <w:t>Paul</w:t>
      </w:r>
      <w:r>
        <w:rPr>
          <w:spacing w:val="-3"/>
        </w:rPr>
        <w:t> </w:t>
      </w:r>
      <w:r>
        <w:rPr/>
        <w:t>Parikhah</w:t>
      </w:r>
      <w:r>
        <w:rPr>
          <w:spacing w:val="-1"/>
        </w:rPr>
        <w:t> </w:t>
      </w:r>
      <w:r>
        <w:rPr/>
        <w:t>–</w:t>
      </w:r>
      <w:r>
        <w:rPr>
          <w:spacing w:val="1"/>
        </w:rPr>
        <w:t> </w:t>
      </w:r>
      <w:r>
        <w:rPr/>
        <w:t>tel.</w:t>
      </w:r>
      <w:r>
        <w:rPr>
          <w:spacing w:val="-2"/>
        </w:rPr>
        <w:t> </w:t>
      </w:r>
      <w:r>
        <w:rPr/>
        <w:t>01</w:t>
      </w:r>
      <w:r>
        <w:rPr>
          <w:spacing w:val="-3"/>
        </w:rPr>
        <w:t> </w:t>
      </w:r>
      <w:r>
        <w:rPr/>
        <w:t>72</w:t>
      </w:r>
      <w:r>
        <w:rPr>
          <w:spacing w:val="-3"/>
        </w:rPr>
        <w:t> </w:t>
      </w:r>
      <w:r>
        <w:rPr/>
        <w:t>60</w:t>
      </w:r>
      <w:r>
        <w:rPr>
          <w:spacing w:val="-3"/>
        </w:rPr>
        <w:t> </w:t>
      </w:r>
      <w:r>
        <w:rPr/>
        <w:t>58</w:t>
      </w:r>
      <w:r>
        <w:rPr>
          <w:spacing w:val="-2"/>
        </w:rPr>
        <w:t> </w:t>
      </w:r>
      <w:r>
        <w:rPr/>
        <w:t>31</w:t>
      </w:r>
      <w:r>
        <w:rPr>
          <w:spacing w:val="-3"/>
        </w:rPr>
        <w:t> </w:t>
      </w:r>
      <w:r>
        <w:rPr/>
        <w:t>–</w:t>
      </w:r>
      <w:r>
        <w:rPr>
          <w:spacing w:val="1"/>
        </w:rPr>
        <w:t> </w:t>
      </w:r>
      <w:hyperlink r:id="rId8">
        <w:r>
          <w:rPr>
            <w:color w:val="0562C1"/>
            <w:u w:val="single" w:color="0562C1"/>
          </w:rPr>
          <w:t>paul.parikhah@conseil-</w:t>
        </w:r>
        <w:r>
          <w:rPr>
            <w:color w:val="0562C1"/>
            <w:spacing w:val="-2"/>
            <w:u w:val="single" w:color="0562C1"/>
          </w:rPr>
          <w:t>etat.fr</w:t>
        </w:r>
      </w:hyperlink>
    </w:p>
    <w:p>
      <w:pPr>
        <w:pStyle w:val="BodyText"/>
        <w:spacing w:before="39"/>
      </w:pPr>
    </w:p>
    <w:p>
      <w:pPr>
        <w:spacing w:before="0"/>
        <w:ind w:left="3637" w:right="0" w:firstLine="0"/>
        <w:jc w:val="left"/>
        <w:rPr>
          <w:i/>
          <w:sz w:val="22"/>
        </w:rPr>
      </w:pPr>
      <w:r>
        <w:rPr>
          <w:i/>
          <w:sz w:val="22"/>
        </w:rPr>
        <w:t>Suivez</w:t>
      </w:r>
      <w:r>
        <w:rPr>
          <w:i/>
          <w:spacing w:val="-3"/>
          <w:sz w:val="22"/>
        </w:rPr>
        <w:t> </w:t>
      </w:r>
      <w:r>
        <w:rPr>
          <w:i/>
          <w:sz w:val="22"/>
        </w:rPr>
        <w:t>l’actualité</w:t>
      </w:r>
      <w:r>
        <w:rPr>
          <w:i/>
          <w:spacing w:val="-3"/>
          <w:sz w:val="22"/>
        </w:rPr>
        <w:t> </w:t>
      </w:r>
      <w:r>
        <w:rPr>
          <w:i/>
          <w:sz w:val="22"/>
        </w:rPr>
        <w:t>du</w:t>
      </w:r>
      <w:r>
        <w:rPr>
          <w:i/>
          <w:spacing w:val="-2"/>
          <w:sz w:val="22"/>
        </w:rPr>
        <w:t> </w:t>
      </w:r>
      <w:r>
        <w:rPr>
          <w:i/>
          <w:sz w:val="22"/>
        </w:rPr>
        <w:t>Conseil</w:t>
      </w:r>
      <w:r>
        <w:rPr>
          <w:i/>
          <w:spacing w:val="-2"/>
          <w:sz w:val="22"/>
        </w:rPr>
        <w:t> </w:t>
      </w:r>
      <w:r>
        <w:rPr>
          <w:i/>
          <w:sz w:val="22"/>
        </w:rPr>
        <w:t>d’État</w:t>
      </w:r>
      <w:r>
        <w:rPr>
          <w:i/>
          <w:spacing w:val="-4"/>
          <w:sz w:val="22"/>
        </w:rPr>
        <w:t> </w:t>
      </w:r>
      <w:r>
        <w:rPr>
          <w:i/>
          <w:sz w:val="22"/>
        </w:rPr>
        <w:t>sur</w:t>
      </w:r>
      <w:r>
        <w:rPr>
          <w:i/>
          <w:spacing w:val="-3"/>
          <w:sz w:val="22"/>
        </w:rPr>
        <w:t> </w:t>
      </w:r>
      <w:r>
        <w:rPr>
          <w:i/>
          <w:sz w:val="22"/>
        </w:rPr>
        <w:t>Twitter</w:t>
      </w:r>
      <w:r>
        <w:rPr>
          <w:i/>
          <w:spacing w:val="-3"/>
          <w:sz w:val="22"/>
        </w:rPr>
        <w:t> </w:t>
      </w:r>
      <w:r>
        <w:rPr>
          <w:i/>
          <w:sz w:val="22"/>
        </w:rPr>
        <w:t>:</w:t>
      </w:r>
      <w:r>
        <w:rPr>
          <w:i/>
          <w:spacing w:val="-2"/>
          <w:sz w:val="22"/>
        </w:rPr>
        <w:t> @Conseil_Etat</w:t>
      </w:r>
    </w:p>
    <w:sectPr>
      <w:pgSz w:w="11910" w:h="16840"/>
      <w:pgMar w:top="1360" w:bottom="280" w:left="1275" w:right="127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Calibri">
    <w:altName w:val="Calibri"/>
    <w:charset w:val="1"/>
    <w:family w:val="roman"/>
    <w:pitch w:val="variable"/>
  </w:font>
  <w:font w:name="Candara">
    <w:altName w:val="Candara"/>
    <w:charset w:val="1"/>
    <w:family w:val="roman"/>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ndara" w:hAnsi="Candara" w:eastAsia="Candara" w:cs="Candara"/>
      <w:lang w:val="fr-FR" w:eastAsia="en-US" w:bidi="ar-SA"/>
    </w:rPr>
  </w:style>
  <w:style w:styleId="BodyText" w:type="paragraph">
    <w:name w:val="Body Text"/>
    <w:basedOn w:val="Normal"/>
    <w:uiPriority w:val="1"/>
    <w:qFormat/>
    <w:pPr/>
    <w:rPr>
      <w:rFonts w:ascii="Candara" w:hAnsi="Candara" w:eastAsia="Candara" w:cs="Candara"/>
      <w:sz w:val="22"/>
      <w:szCs w:val="22"/>
      <w:lang w:val="fr-FR" w:eastAsia="en-US" w:bidi="ar-SA"/>
    </w:rPr>
  </w:style>
  <w:style w:styleId="Heading1" w:type="paragraph">
    <w:name w:val="Heading 1"/>
    <w:basedOn w:val="Normal"/>
    <w:uiPriority w:val="1"/>
    <w:qFormat/>
    <w:pPr>
      <w:ind w:hanging="624"/>
      <w:outlineLvl w:val="1"/>
    </w:pPr>
    <w:rPr>
      <w:rFonts w:ascii="Candara" w:hAnsi="Candara" w:eastAsia="Candara" w:cs="Candara"/>
      <w:b/>
      <w:bCs/>
      <w:sz w:val="28"/>
      <w:szCs w:val="28"/>
      <w:lang w:val="fr-FR" w:eastAsia="en-US" w:bidi="ar-SA"/>
    </w:rPr>
  </w:style>
  <w:style w:styleId="ListParagraph" w:type="paragraph">
    <w:name w:val="List Paragraph"/>
    <w:basedOn w:val="Normal"/>
    <w:uiPriority w:val="1"/>
    <w:qFormat/>
    <w:pPr/>
    <w:rPr>
      <w:lang w:val="fr-FR" w:eastAsia="en-US" w:bidi="ar-SA"/>
    </w:rPr>
  </w:style>
  <w:style w:styleId="TableParagraph" w:type="paragraph">
    <w:name w:val="Table Paragraph"/>
    <w:basedOn w:val="Normal"/>
    <w:uiPriority w:val="1"/>
    <w:qFormat/>
    <w:pPr/>
    <w:rPr>
      <w:lang w:val="fr-F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hyperlink" Target="https://www.legifrance.gouv.fr/jorf/id/JORFTEXT000042532778?r=hgsxnGjiOv" TargetMode="External"/><Relationship Id="rId7" Type="http://schemas.openxmlformats.org/officeDocument/2006/relationships/hyperlink" Target="mailto:xabi.velazquez@conseil-etat.fr" TargetMode="External"/><Relationship Id="rId8" Type="http://schemas.openxmlformats.org/officeDocument/2006/relationships/hyperlink" Target="mailto:paul.parikhah@conseil-etat.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Conseil d'Etat</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de La Taille</dc:creator>
  <dc:description/>
  <dcterms:created xsi:type="dcterms:W3CDTF">2026-02-05T14:28:23Z</dcterms:created>
  <dcterms:modified xsi:type="dcterms:W3CDTF">2026-02-05T14:28:23Z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2020-11-27T00:00:00Z</vt:filetime>
  </property>
  <property fmtid="{D5CDD505-2E9C-101B-9397-08002B2CF9AE}" pid="3" name="Creator">
    <vt:lpwstr>Acrobat PDFMaker 20 pour Word</vt:lpwstr>
  </property>
  <property fmtid="{D5CDD505-2E9C-101B-9397-08002B2CF9AE}" pid="4" name="LastSaved">
    <vt:filetime>2026-02-05T00:00:00Z</vt:filetime>
  </property>
  <property fmtid="{D5CDD505-2E9C-101B-9397-08002B2CF9AE}" pid="5" name="Producer">
    <vt:lpwstr>Adobe PDF Library 20.13.98</vt:lpwstr>
  </property>
  <property fmtid="{D5CDD505-2E9C-101B-9397-08002B2CF9AE}" pid="6" name="SourceModified">
    <vt:lpwstr>D:20201127135756</vt:lpwstr>
  </property>
</Properties>
</file>